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ind w:left="0" w:leftChars="0" w:right="0" w:rightChars="0" w:firstLine="880" w:firstLineChars="200"/>
        <w:jc w:val="center"/>
        <w:textAlignment w:val="auto"/>
        <w:outlineLvl w:val="9"/>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霸州市民政局</w:t>
      </w:r>
      <w:r>
        <w:rPr>
          <w:rFonts w:ascii="方正小标宋简体" w:hAnsi="新宋体" w:eastAsia="方正小标宋简体" w:cs="新宋体"/>
          <w:bCs/>
          <w:sz w:val="44"/>
          <w:szCs w:val="44"/>
        </w:rPr>
        <w:t>2016</w:t>
      </w:r>
      <w:r>
        <w:rPr>
          <w:rFonts w:hint="eastAsia" w:ascii="方正小标宋简体" w:hAnsi="新宋体" w:eastAsia="方正小标宋简体" w:cs="新宋体"/>
          <w:bCs/>
          <w:sz w:val="44"/>
          <w:szCs w:val="44"/>
        </w:rPr>
        <w:t>年度部门决算公开情况说明</w:t>
      </w:r>
    </w:p>
    <w:p>
      <w:pPr>
        <w:keepNext w:val="0"/>
        <w:keepLines w:val="0"/>
        <w:pageBreakBefore w:val="0"/>
        <w:kinsoku/>
        <w:wordWrap/>
        <w:overflowPunct/>
        <w:topLinePunct w:val="0"/>
        <w:autoSpaceDE/>
        <w:bidi w:val="0"/>
        <w:adjustRightInd/>
        <w:snapToGrid/>
        <w:ind w:left="0" w:leftChars="0" w:right="0" w:rightChars="0" w:firstLine="640" w:firstLineChars="200"/>
        <w:jc w:val="center"/>
        <w:textAlignment w:val="auto"/>
        <w:outlineLvl w:val="9"/>
        <w:rPr>
          <w:rFonts w:ascii="仿宋_GB2312" w:eastAsia="仿宋_GB2312"/>
          <w:sz w:val="32"/>
          <w:szCs w:val="32"/>
        </w:rPr>
      </w:pPr>
      <w:r>
        <w:rPr>
          <w:rFonts w:hint="eastAsia" w:eastAsia="仿宋_GB2312"/>
          <w:sz w:val="32"/>
          <w:szCs w:val="32"/>
        </w:rPr>
        <w:t> </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按照《预算法》、《河北省财政厅关于印发&lt;河北省预决算公开操作规程实施细则&gt;的通知》（冀财预﹝2016﹞129号）等规定，现将</w:t>
      </w:r>
      <w:r>
        <w:rPr>
          <w:rFonts w:hint="eastAsia" w:ascii="仿宋" w:hAnsi="仿宋" w:eastAsia="仿宋" w:cs="仿宋"/>
          <w:sz w:val="32"/>
          <w:szCs w:val="32"/>
          <w:lang w:val="en-US" w:eastAsia="zh-CN"/>
        </w:rPr>
        <w:t>霸州市民政局</w:t>
      </w:r>
      <w:r>
        <w:rPr>
          <w:rFonts w:hint="eastAsia" w:ascii="仿宋" w:hAnsi="仿宋" w:eastAsia="仿宋" w:cs="仿宋"/>
          <w:sz w:val="32"/>
          <w:szCs w:val="32"/>
        </w:rPr>
        <w:t>2016年度部门决算公开如下：</w:t>
      </w:r>
    </w:p>
    <w:p>
      <w:pPr>
        <w:keepNext w:val="0"/>
        <w:keepLines w:val="0"/>
        <w:pageBreakBefore w:val="0"/>
        <w:kinsoku/>
        <w:wordWrap/>
        <w:overflowPunct/>
        <w:topLinePunct w:val="0"/>
        <w:autoSpaceDE/>
        <w:bidi w:val="0"/>
        <w:adjustRightInd/>
        <w:snapToGrid/>
        <w:spacing w:line="580" w:lineRule="atLeast"/>
        <w:ind w:left="0" w:leftChars="0" w:right="0" w:rightChars="0" w:firstLine="640" w:firstLineChars="200"/>
        <w:textAlignment w:val="auto"/>
        <w:outlineLvl w:val="9"/>
      </w:pPr>
      <w:r>
        <w:rPr>
          <w:rFonts w:ascii="黑体" w:hAnsi="黑体" w:eastAsia="黑体"/>
          <w:sz w:val="32"/>
          <w:szCs w:val="32"/>
        </w:rPr>
        <w:t>一、部门职责</w:t>
      </w:r>
      <w:r>
        <w:rPr>
          <w:rFonts w:hint="eastAsia" w:ascii="黑体" w:hAnsi="黑体" w:eastAsia="黑体"/>
          <w:sz w:val="32"/>
          <w:szCs w:val="32"/>
        </w:rPr>
        <w:t>及</w:t>
      </w:r>
      <w:r>
        <w:rPr>
          <w:rFonts w:ascii="黑体" w:hAnsi="黑体" w:eastAsia="黑体"/>
          <w:sz w:val="32"/>
          <w:szCs w:val="32"/>
        </w:rPr>
        <w:t>机构设置情况</w:t>
      </w:r>
    </w:p>
    <w:p>
      <w:pPr>
        <w:keepNext w:val="0"/>
        <w:keepLines w:val="0"/>
        <w:pageBreakBefore w:val="0"/>
        <w:kinsoku/>
        <w:wordWrap/>
        <w:overflowPunct/>
        <w:topLinePunct w:val="0"/>
        <w:autoSpaceDE/>
        <w:bidi w:val="0"/>
        <w:adjustRightInd/>
        <w:snapToGrid/>
        <w:ind w:left="0" w:leftChars="0" w:right="0" w:rightChars="0" w:firstLine="643" w:firstLineChars="200"/>
        <w:jc w:val="left"/>
        <w:textAlignment w:val="auto"/>
        <w:outlineLvl w:val="9"/>
        <w:rPr>
          <w:rFonts w:hint="eastAsia" w:ascii="楷体" w:hAnsi="楷体" w:eastAsia="楷体" w:cs="楷体"/>
          <w:b/>
          <w:bCs/>
          <w:sz w:val="32"/>
          <w:szCs w:val="32"/>
        </w:rPr>
      </w:pPr>
      <w:bookmarkStart w:id="0" w:name="_GoBack"/>
      <w:r>
        <w:rPr>
          <w:rFonts w:hint="eastAsia" w:ascii="楷体" w:hAnsi="楷体" w:eastAsia="楷体" w:cs="楷体"/>
          <w:b/>
          <w:bCs/>
          <w:sz w:val="32"/>
          <w:szCs w:val="32"/>
        </w:rPr>
        <w:t>部门职责：</w:t>
      </w:r>
    </w:p>
    <w:bookmarkEnd w:id="0"/>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）研究制定全市民政事业发展战略，编制民政事业发展规划和年度计划;负责全市民政信息、宣传、信访和政策理论研究工作；负责全市民政行政执法、监督检查、行政复议工作。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（三）负责市直单位、驻霸中省直单位所属和挂靠的民办非企业单位和年度检查；查处民办非企业单位违法行为和未登记的民办非企业单位。</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（五）指导全市退伍义务兵、转业士官、复员退役伤病残士兵的接收安置工作；负责驻霸中省、市直单位城镇退役士兵、转业士官安置发配工作；指导军地两用人才培训和开发使用工作。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（六）负责廊坊军队离退休干部安置办公室移交本市管理的军队离、退休干部和军队无军籍退休退职职工接收安置、管理服务工作；指导全市军队离退休干部休养所的建设和服务管理工作。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（七）指导全市救灾工作和灾区生产自救、发放救灾款物工作；检查监督救灾款物使用权用情况；组织指导全市救灾捐赠工作，积极开展经常性社会捐助活动及救灾物资的仓储管理。</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（九）承担老年人、孤儿、五保户等特殊困难群众权益保护和行政管理工作，指导残疾人权益保障工作。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研究提出全市加强和改进基层政权、基层民主政治建设的意见和建议；指导全市村委全、居委会等自治组织建设及有关人员培训工作，推进村务、居务公开，指导社区建设并负责社区典型经验的总结和推广。</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（十一）负责全市婚姻登记及管理工作；拟定全市婚姻服务机构管理办法；倡导婚姻习俗改革；依法查年非法婚姻。</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（十二）拟定全市行政区划总体规划；居办村委会、城市街道办事处的设立、撤销、界线变更的调查、论证、审核工作；负责级、镇的设立、撤销、驻地迁移申报工作。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（十三）负责全市行政区划名称、重要自然地理实体命名、更名的申报或审批工作；依法规范全市城乡地名标志设置和管理，组织指导全市推行地名标准化、信息化建设和标准地名书图资料编辑及审定。</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（十四）负责全市边界勘定和边争议调处。</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（十六）负责全市收养登记工作；积极推行殡葬改革，加强全市殡葬事业单位的管理；负责流浪乞讨人员的收容遣送工</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（十七）主管全市对内扶贫和对口帮扶工作。协调有关部门与贫困村、贫困户结对子，办实事。积极争取资金，采取有效措施，帮助贫困村、贫困户尽快脱贫。</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（十八）指导监督全市民政事业费的管理；负责管理和统计全市民政事业发展工作；负责审计专项款物的使用情况。</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（十九）指导各乡镇（区、办）基层民政组织建设工作。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（二十）负责全市社会福利有奖募捐工作。</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（二十一）承办市政府交办的基它事项。</w:t>
      </w:r>
    </w:p>
    <w:p>
      <w:pPr>
        <w:keepNext w:val="0"/>
        <w:keepLines w:val="0"/>
        <w:pageBreakBefore w:val="0"/>
        <w:kinsoku/>
        <w:wordWrap/>
        <w:overflowPunct/>
        <w:topLinePunct w:val="0"/>
        <w:autoSpaceDE/>
        <w:bidi w:val="0"/>
        <w:adjustRightInd/>
        <w:snapToGrid/>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部门机构设置：</w:t>
      </w:r>
    </w:p>
    <w:tbl>
      <w:tblPr>
        <w:tblStyle w:val="6"/>
        <w:tblW w:w="10545" w:type="dxa"/>
        <w:tblInd w:w="1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493"/>
        <w:gridCol w:w="2265"/>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outlineLvl w:val="9"/>
              <w:rPr>
                <w:rFonts w:ascii="方正书宋_GBK" w:eastAsia="方正书宋_GBK"/>
                <w:b/>
              </w:rPr>
            </w:pPr>
            <w:r>
              <w:rPr>
                <w:rFonts w:hint="eastAsia" w:ascii="方正书宋_GBK" w:eastAsia="方正书宋_GBK"/>
                <w:b/>
              </w:rPr>
              <w:t>单位名称</w:t>
            </w:r>
          </w:p>
        </w:tc>
        <w:tc>
          <w:tcPr>
            <w:tcW w:w="1493"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outlineLvl w:val="9"/>
              <w:rPr>
                <w:rFonts w:ascii="方正书宋_GBK" w:eastAsia="方正书宋_GBK"/>
                <w:b/>
              </w:rPr>
            </w:pPr>
            <w:r>
              <w:rPr>
                <w:rFonts w:hint="eastAsia" w:ascii="方正书宋_GBK" w:eastAsia="方正书宋_GBK"/>
                <w:b/>
              </w:rPr>
              <w:t>单位性质</w:t>
            </w:r>
          </w:p>
        </w:tc>
        <w:tc>
          <w:tcPr>
            <w:tcW w:w="2265"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outlineLvl w:val="9"/>
              <w:rPr>
                <w:rFonts w:ascii="方正书宋_GBK" w:eastAsia="方正书宋_GBK"/>
                <w:b/>
              </w:rPr>
            </w:pPr>
            <w:r>
              <w:rPr>
                <w:rFonts w:hint="eastAsia" w:ascii="方正书宋_GBK" w:eastAsia="方正书宋_GBK"/>
                <w:b/>
              </w:rPr>
              <w:t>单位规格</w:t>
            </w:r>
          </w:p>
        </w:tc>
        <w:tc>
          <w:tcPr>
            <w:tcW w:w="3418" w:type="dxa"/>
            <w:vAlign w:val="center"/>
          </w:tcPr>
          <w:p>
            <w:pPr>
              <w:keepNext w:val="0"/>
              <w:keepLines w:val="0"/>
              <w:pageBreakBefore w:val="0"/>
              <w:kinsoku/>
              <w:wordWrap/>
              <w:overflowPunct/>
              <w:topLinePunct w:val="0"/>
              <w:autoSpaceDE/>
              <w:bidi w:val="0"/>
              <w:adjustRightInd/>
              <w:snapToGrid/>
              <w:spacing w:line="300" w:lineRule="exact"/>
              <w:ind w:left="0" w:leftChars="0" w:right="0" w:rightChars="0" w:firstLine="420" w:firstLineChars="200"/>
              <w:jc w:val="center"/>
              <w:textAlignment w:val="auto"/>
              <w:outlineLvl w:val="9"/>
              <w:rPr>
                <w:rFonts w:ascii="方正书宋_GBK" w:eastAsia="方正书宋_GBK"/>
                <w:b/>
              </w:rPr>
            </w:pPr>
            <w:r>
              <w:rPr>
                <w:rFonts w:hint="eastAsia" w:ascii="方正书宋_GBK" w:eastAsia="方正书宋_GBK"/>
                <w:b/>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霸州市民政局</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行政</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正科级</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霸州市光荣院</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全额事业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霸州市殡仪馆</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差额事业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霸州市中心敬老院</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全额事业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霸州市胜芳镇中心敬老院</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全额事业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霸州市霸州镇敬老院</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全额事业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霸州市南孟镇敬老院</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全额事业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霸州市扬芬港镇敬老院</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全额事业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霸州市福利彩票发行管理中心</w:t>
            </w:r>
          </w:p>
        </w:tc>
        <w:tc>
          <w:tcPr>
            <w:tcW w:w="1493"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全额事业</w:t>
            </w:r>
          </w:p>
        </w:tc>
        <w:tc>
          <w:tcPr>
            <w:tcW w:w="2265"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其他</w:t>
            </w:r>
          </w:p>
        </w:tc>
        <w:tc>
          <w:tcPr>
            <w:tcW w:w="3418" w:type="dxa"/>
            <w:vAlign w:val="center"/>
          </w:tcPr>
          <w:p>
            <w:pPr>
              <w:keepNext w:val="0"/>
              <w:keepLines w:val="0"/>
              <w:pageBreakBefore w:val="0"/>
              <w:kinsoku/>
              <w:wordWrap/>
              <w:overflowPunct/>
              <w:topLinePunct w:val="0"/>
              <w:autoSpaceDE/>
              <w:bidi w:val="0"/>
              <w:adjustRightInd/>
              <w:snapToGrid/>
              <w:spacing w:line="300" w:lineRule="exact"/>
              <w:ind w:right="0" w:rightChars="0"/>
              <w:jc w:val="center"/>
              <w:textAlignment w:val="auto"/>
              <w:outlineLvl w:val="9"/>
              <w:rPr>
                <w:rFonts w:ascii="方正书宋_GBK" w:eastAsia="方正书宋_GBK"/>
              </w:rPr>
            </w:pPr>
            <w:r>
              <w:rPr>
                <w:rFonts w:hint="eastAsia" w:ascii="方正书宋_GBK" w:eastAsia="方正书宋_GBK"/>
              </w:rPr>
              <w:t>财政性资金基本保证</w:t>
            </w:r>
          </w:p>
        </w:tc>
      </w:tr>
    </w:tbl>
    <w:p>
      <w:pPr>
        <w:keepNext w:val="0"/>
        <w:keepLines w:val="0"/>
        <w:pageBreakBefore w:val="0"/>
        <w:kinsoku/>
        <w:wordWrap/>
        <w:overflowPunct/>
        <w:topLinePunct w:val="0"/>
        <w:autoSpaceDE/>
        <w:bidi w:val="0"/>
        <w:adjustRightInd/>
        <w:snapToGrid/>
        <w:ind w:left="0" w:leftChars="0" w:right="0" w:rightChars="0" w:firstLine="640" w:firstLineChars="200"/>
        <w:textAlignment w:val="auto"/>
        <w:outlineLvl w:val="9"/>
        <w:rPr>
          <w:rFonts w:ascii="仿宋_GB2312" w:eastAsia="仿宋_GB2312"/>
          <w:sz w:val="32"/>
          <w:szCs w:val="32"/>
        </w:rPr>
      </w:pPr>
    </w:p>
    <w:p>
      <w:pPr>
        <w:keepNext w:val="0"/>
        <w:keepLines w:val="0"/>
        <w:pageBreakBefore w:val="0"/>
        <w:kinsoku/>
        <w:wordWrap/>
        <w:overflowPunct/>
        <w:topLinePunct w:val="0"/>
        <w:autoSpaceDE/>
        <w:bidi w:val="0"/>
        <w:adjustRightInd/>
        <w:snapToGrid/>
        <w:ind w:left="0" w:leftChars="0" w:right="0" w:rightChars="0" w:firstLine="640" w:firstLineChars="200"/>
        <w:textAlignment w:val="auto"/>
        <w:outlineLvl w:val="9"/>
        <w:rPr>
          <w:rFonts w:ascii="黑体" w:hAnsi="黑体" w:eastAsia="黑体"/>
          <w:sz w:val="32"/>
          <w:szCs w:val="32"/>
        </w:rPr>
      </w:pPr>
      <w:r>
        <w:rPr>
          <w:rFonts w:hint="eastAsia" w:eastAsia="黑体"/>
          <w:sz w:val="32"/>
          <w:szCs w:val="32"/>
        </w:rPr>
        <w:t>二、</w:t>
      </w:r>
      <w:r>
        <w:rPr>
          <w:rFonts w:hint="eastAsia" w:ascii="黑体" w:hAnsi="黑体" w:eastAsia="黑体"/>
          <w:sz w:val="32"/>
          <w:szCs w:val="32"/>
        </w:rPr>
        <w:t>部门决算报表（附表）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（二）收入决算表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（三）支出决算表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（七）政府性基金预算财政拨款收入支出决算表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（八）国有资本经营预算财政拨款支出决算表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（九）“三公”经费及相关信息统计表</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（十）政府采购情况表</w:t>
      </w:r>
    </w:p>
    <w:p>
      <w:pPr>
        <w:keepNext w:val="0"/>
        <w:keepLines w:val="0"/>
        <w:pageBreakBefore w:val="0"/>
        <w:kinsoku/>
        <w:wordWrap/>
        <w:overflowPunct/>
        <w:topLinePunct w:val="0"/>
        <w:autoSpaceDE/>
        <w:bidi w:val="0"/>
        <w:adjustRightInd/>
        <w:snapToGrid/>
        <w:ind w:left="0" w:leftChars="0" w:right="0" w:rightChars="0" w:firstLine="640" w:firstLineChars="200"/>
        <w:textAlignment w:val="auto"/>
        <w:outlineLvl w:val="9"/>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2016年度部门决算情况说明</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反映本部门综合收支情况。2016</w:t>
      </w:r>
      <w:r>
        <w:rPr>
          <w:rFonts w:hint="eastAsia" w:ascii="仿宋" w:hAnsi="仿宋" w:eastAsia="仿宋" w:cs="仿宋"/>
          <w:sz w:val="32"/>
          <w:szCs w:val="32"/>
        </w:rPr>
        <w:t>年度财政拨款收入8674.41万元。支出9584.38万元，其中：社会保障和就业支出7533.83万元，医疗卫生与计划生育支出515.4万元，住房保障支出1080.5万元，其他支出454.65万元。2016</w:t>
      </w:r>
      <w:r>
        <w:rPr>
          <w:rFonts w:hint="eastAsia" w:ascii="仿宋" w:hAnsi="仿宋" w:eastAsia="仿宋" w:cs="仿宋"/>
          <w:sz w:val="32"/>
          <w:szCs w:val="32"/>
        </w:rPr>
        <w:t>年度年初结转和结余2305.25万元，年末结转和结余1395.28万元。</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outlineLvl w:val="9"/>
        <w:rPr>
          <w:rFonts w:ascii="仿宋" w:hAnsi="仿宋" w:eastAsia="仿宋" w:cs="仿宋"/>
          <w:sz w:val="32"/>
          <w:szCs w:val="32"/>
        </w:rPr>
      </w:pPr>
      <w:r>
        <w:rPr>
          <w:rFonts w:hint="eastAsia" w:ascii="楷体" w:hAnsi="楷体" w:eastAsia="楷体" w:cs="楷体"/>
          <w:b/>
          <w:bCs/>
          <w:sz w:val="32"/>
          <w:szCs w:val="32"/>
        </w:rPr>
        <w:t>（二）收入决算情况说明</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反映本部门当年总体收入情况。2016</w:t>
      </w:r>
      <w:r>
        <w:rPr>
          <w:rFonts w:hint="eastAsia" w:ascii="仿宋" w:hAnsi="仿宋" w:eastAsia="仿宋" w:cs="仿宋"/>
          <w:sz w:val="32"/>
          <w:szCs w:val="32"/>
        </w:rPr>
        <w:t>年度财政拨款收入8674.41万元，其中：社会保障和就业收入7934.19万元，医疗卫生与计划生育支出525.5万元，援助其他地区支出24万元，其他支出190.72万元。</w:t>
      </w:r>
    </w:p>
    <w:p>
      <w:pPr>
        <w:keepNext w:val="0"/>
        <w:keepLines w:val="0"/>
        <w:pageBreakBefore w:val="0"/>
        <w:numPr>
          <w:ilvl w:val="0"/>
          <w:numId w:val="1"/>
        </w:numPr>
        <w:kinsoku/>
        <w:wordWrap/>
        <w:overflowPunct/>
        <w:topLinePunct w:val="0"/>
        <w:autoSpaceDE/>
        <w:bidi w:val="0"/>
        <w:adjustRightInd/>
        <w:snapToGrid/>
        <w:spacing w:line="360" w:lineRule="auto"/>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支出决算情况说明</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反映本部门当年总体支出情况。2016</w:t>
      </w:r>
      <w:r>
        <w:rPr>
          <w:rFonts w:hint="eastAsia" w:ascii="仿宋" w:hAnsi="仿宋" w:eastAsia="仿宋" w:cs="仿宋"/>
          <w:sz w:val="32"/>
          <w:szCs w:val="32"/>
        </w:rPr>
        <w:t>年度财政拨款支出9584.38万元，其中社会保障和就业支出7533.83万元，医疗卫生与计划生育支出515.4万元，住房保障支出1080.5万元，其他支出454.65万元。</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反映本部门财政拨款收支情况。2016</w:t>
      </w:r>
      <w:r>
        <w:rPr>
          <w:rFonts w:hint="eastAsia" w:ascii="仿宋" w:hAnsi="仿宋" w:eastAsia="仿宋" w:cs="仿宋"/>
          <w:sz w:val="32"/>
          <w:szCs w:val="32"/>
        </w:rPr>
        <w:t>年度财政拨款收入8674.41万元，其中：一般预算财政拨款收入8483.69万元，政府性基金预算财政拨款收入190.72万元。</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2016</w:t>
      </w:r>
      <w:r>
        <w:rPr>
          <w:rFonts w:hint="eastAsia" w:ascii="仿宋" w:hAnsi="仿宋" w:eastAsia="仿宋" w:cs="仿宋"/>
          <w:sz w:val="32"/>
          <w:szCs w:val="32"/>
        </w:rPr>
        <w:t>年度支出9584.38万元，其中一般预算财政拨款支出9129.72万元：社会保障和就业支出7533.83万元，医疗卫生与计划生育支出515.4万元，住房保障支出1080.5万元。政府性基金支出454.65万元：其他支出454.65万元。</w:t>
      </w:r>
    </w:p>
    <w:p>
      <w:pPr>
        <w:keepNext w:val="0"/>
        <w:keepLines w:val="0"/>
        <w:pageBreakBefore w:val="0"/>
        <w:kinsoku/>
        <w:wordWrap/>
        <w:overflowPunct/>
        <w:topLinePunct w:val="0"/>
        <w:autoSpaceDE/>
        <w:bidi w:val="0"/>
        <w:adjustRightInd/>
        <w:snapToGrid/>
        <w:spacing w:line="360" w:lineRule="auto"/>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（五）“三公”经费情况及增减变化原因</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2016年度部门“三公”经费支出13.36万元，比预算减少2万元，比2015年度决算增加5.75万元。</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其中因公出国（境）费0</w:t>
      </w:r>
      <w:r>
        <w:rPr>
          <w:rFonts w:hint="eastAsia" w:ascii="仿宋" w:hAnsi="仿宋" w:eastAsia="仿宋" w:cs="仿宋"/>
          <w:sz w:val="32"/>
          <w:szCs w:val="32"/>
        </w:rPr>
        <w:t>万元；公务用车购置及运维费13.36万元（其中：公务用车购置费为0</w:t>
      </w:r>
      <w:r>
        <w:rPr>
          <w:rFonts w:hint="eastAsia" w:ascii="仿宋" w:hAnsi="仿宋" w:eastAsia="仿宋" w:cs="仿宋"/>
          <w:sz w:val="32"/>
          <w:szCs w:val="32"/>
        </w:rPr>
        <w:t>万元，公务用车运行费13.36万元)</w:t>
      </w:r>
      <w:r>
        <w:rPr>
          <w:rFonts w:hint="eastAsia" w:ascii="仿宋" w:hAnsi="仿宋" w:eastAsia="仿宋" w:cs="仿宋"/>
          <w:sz w:val="32"/>
          <w:szCs w:val="32"/>
        </w:rPr>
        <w:t>；公务接待费0.17万元（2016</w:t>
      </w:r>
      <w:r>
        <w:rPr>
          <w:rFonts w:hint="eastAsia" w:ascii="仿宋" w:hAnsi="仿宋" w:eastAsia="仿宋" w:cs="仿宋"/>
          <w:sz w:val="32"/>
          <w:szCs w:val="32"/>
        </w:rPr>
        <w:t>年度国内公务接待5批次，合计接待17人次）。比年初预算减少0.69万元，比2015</w:t>
      </w:r>
      <w:r>
        <w:rPr>
          <w:rFonts w:hint="eastAsia" w:ascii="仿宋" w:hAnsi="仿宋" w:eastAsia="仿宋" w:cs="仿宋"/>
          <w:sz w:val="32"/>
          <w:szCs w:val="32"/>
        </w:rPr>
        <w:t>年度决算增加0.02万元。其中：公车运行维护经费较上年增加5.75万元，增加原因是2016年增加下属馆院经费支出；公务接待费比上年增加0.</w:t>
      </w:r>
      <w:r>
        <w:rPr>
          <w:rFonts w:hint="eastAsia" w:ascii="仿宋" w:hAnsi="仿宋" w:eastAsia="仿宋" w:cs="仿宋"/>
          <w:sz w:val="32"/>
          <w:szCs w:val="32"/>
        </w:rPr>
        <w:t>02万元，增加原因为我单位正常接待支出。</w:t>
      </w:r>
    </w:p>
    <w:p>
      <w:pPr>
        <w:keepNext w:val="0"/>
        <w:keepLines w:val="0"/>
        <w:pageBreakBefore w:val="0"/>
        <w:numPr>
          <w:ilvl w:val="0"/>
          <w:numId w:val="2"/>
        </w:numPr>
        <w:kinsoku/>
        <w:wordWrap/>
        <w:overflowPunct/>
        <w:topLinePunct w:val="0"/>
        <w:autoSpaceDE/>
        <w:bidi w:val="0"/>
        <w:adjustRightInd/>
        <w:snapToGrid/>
        <w:spacing w:line="360" w:lineRule="auto"/>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机关运行费支出说明</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2016年度部门机关运行经费支出235.91万元，比2015年度增加143.95万元，原因是我单位下属馆院经费支出汇总到部门，以前年度都是汇总到一个五保供养科目。  </w:t>
      </w:r>
    </w:p>
    <w:p>
      <w:pPr>
        <w:keepNext w:val="0"/>
        <w:keepLines w:val="0"/>
        <w:pageBreakBefore w:val="0"/>
        <w:numPr>
          <w:ilvl w:val="0"/>
          <w:numId w:val="2"/>
        </w:numPr>
        <w:kinsoku/>
        <w:wordWrap/>
        <w:overflowPunct/>
        <w:topLinePunct w:val="0"/>
        <w:autoSpaceDE/>
        <w:bidi w:val="0"/>
        <w:adjustRightInd/>
        <w:snapToGrid/>
        <w:spacing w:line="360" w:lineRule="auto"/>
        <w:ind w:left="0" w:leftChars="0" w:right="0" w:rightChars="0"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rPr>
        <w:t>绩效预算信息</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rPr>
        <w:t>预算绩效管理工作开展情况</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根据市财政预算绩效管理要求，以“部门职责—</w:t>
      </w:r>
      <w:r>
        <w:rPr>
          <w:rFonts w:hint="eastAsia" w:ascii="仿宋" w:hAnsi="仿宋" w:eastAsia="仿宋" w:cs="仿宋"/>
          <w:sz w:val="32"/>
          <w:szCs w:val="32"/>
        </w:rPr>
        <w:t>工作活动”为依据，确定部门预算项目和预算额度，清晰描述预算项目开支范围和内容，确定预算项目的绩效目标、绩效指标和评价标准，为预算绩效控制、绩效分析、绩效评价打下好的基础。</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rPr>
        <w:t>预算项目绩效评价开展情况</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按照市财政预算绩效管理要求，对 2016 </w:t>
      </w:r>
      <w:r>
        <w:rPr>
          <w:rFonts w:hint="eastAsia" w:ascii="仿宋" w:hAnsi="仿宋" w:eastAsia="仿宋" w:cs="仿宋"/>
          <w:sz w:val="32"/>
          <w:szCs w:val="32"/>
        </w:rPr>
        <w:t>年确定的部门一般公共预算支出项目全面开展了绩效自评。</w:t>
      </w:r>
    </w:p>
    <w:p>
      <w:pPr>
        <w:keepNext w:val="0"/>
        <w:keepLines w:val="0"/>
        <w:pageBreakBefore w:val="0"/>
        <w:widowControl w:val="0"/>
        <w:numPr>
          <w:numId w:val="0"/>
        </w:numPr>
        <w:kinsoku/>
        <w:wordWrap/>
        <w:overflowPunct/>
        <w:topLinePunct w:val="0"/>
        <w:autoSpaceDE/>
        <w:bidi w:val="0"/>
        <w:adjustRightInd/>
        <w:snapToGrid/>
        <w:spacing w:line="36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lang w:eastAsia="zh-CN"/>
        </w:rPr>
        <w:t>）</w:t>
      </w:r>
      <w:r>
        <w:rPr>
          <w:rFonts w:hint="eastAsia" w:ascii="楷体" w:hAnsi="楷体" w:eastAsia="楷体" w:cs="楷体"/>
          <w:b/>
          <w:bCs/>
          <w:sz w:val="32"/>
          <w:szCs w:val="32"/>
        </w:rPr>
        <w:t>政府采购情况</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2016年度部门政府采购支出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kinsoku/>
        <w:wordWrap/>
        <w:overflowPunct/>
        <w:topLinePunct w:val="0"/>
        <w:autoSpaceDE/>
        <w:autoSpaceDN w:val="0"/>
        <w:bidi w:val="0"/>
        <w:adjustRightInd/>
        <w:snapToGrid/>
        <w:spacing w:line="420" w:lineRule="atLeast"/>
        <w:ind w:left="0" w:leftChars="0" w:right="0" w:rightChars="0" w:firstLine="643" w:firstLineChars="200"/>
        <w:jc w:val="left"/>
        <w:textAlignment w:val="auto"/>
        <w:outlineLvl w:val="9"/>
        <w:rPr>
          <w:rFonts w:ascii="楷体" w:hAnsi="楷体" w:eastAsia="楷体"/>
          <w:b/>
          <w:sz w:val="32"/>
          <w:szCs w:val="32"/>
        </w:rPr>
      </w:pPr>
      <w:r>
        <w:rPr>
          <w:rFonts w:hint="eastAsia" w:ascii="楷体" w:hAnsi="楷体" w:eastAsia="楷体"/>
          <w:b/>
          <w:sz w:val="32"/>
          <w:szCs w:val="32"/>
        </w:rPr>
        <w:t>（九）国有资产信息</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2016年度霸州市民政局国有资产原值共4419.95万元，其中房屋2142.57万元；交通工具91.01万元，其中：一般公务用车9辆；其他办公设施661.04万元。比上年决算增加1050.04万元，主要原因为增加下属各敬老院固定资产。具体资产情况见附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keepNext w:val="0"/>
              <w:keepLines w:val="0"/>
              <w:pageBreakBefore w:val="0"/>
              <w:widowControl/>
              <w:kinsoku/>
              <w:wordWrap/>
              <w:overflowPunct/>
              <w:topLinePunct w:val="0"/>
              <w:autoSpaceDE/>
              <w:bidi w:val="0"/>
              <w:adjustRightInd/>
              <w:snapToGrid/>
              <w:ind w:right="0" w:rightChars="0"/>
              <w:jc w:val="left"/>
              <w:textAlignment w:val="auto"/>
              <w:outlineLvl w:val="9"/>
              <w:rPr>
                <w:rFonts w:ascii="宋体" w:hAnsi="宋体" w:cs="宋体"/>
                <w:kern w:val="0"/>
                <w:sz w:val="22"/>
              </w:rPr>
            </w:pPr>
            <w:r>
              <w:rPr>
                <w:rFonts w:hint="eastAsia" w:ascii="宋体" w:hAnsi="宋体" w:cs="宋体"/>
                <w:kern w:val="0"/>
                <w:sz w:val="22"/>
              </w:rPr>
              <w:t>编制部门：</w:t>
            </w:r>
            <w:r>
              <w:rPr>
                <w:rFonts w:hint="eastAsia" w:ascii="宋体" w:hAnsi="宋体" w:cs="宋体"/>
                <w:kern w:val="0"/>
                <w:sz w:val="22"/>
                <w:lang w:val="en-US" w:eastAsia="zh-CN"/>
              </w:rPr>
              <w:t>802</w:t>
            </w:r>
            <w:r>
              <w:rPr>
                <w:rFonts w:hint="eastAsia" w:ascii="宋体" w:hAnsi="宋体" w:cs="宋体"/>
                <w:kern w:val="0"/>
                <w:sz w:val="22"/>
              </w:rPr>
              <w:t>霸州市民政局</w:t>
            </w:r>
          </w:p>
        </w:tc>
        <w:tc>
          <w:tcPr>
            <w:tcW w:w="5103" w:type="dxa"/>
            <w:tcBorders>
              <w:top w:val="nil"/>
              <w:left w:val="nil"/>
              <w:bottom w:val="nil"/>
              <w:right w:val="nil"/>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outlineLvl w:val="9"/>
              <w:rPr>
                <w:rFonts w:ascii="宋体" w:hAnsi="宋体" w:cs="宋体"/>
                <w:kern w:val="0"/>
                <w:sz w:val="22"/>
              </w:rPr>
            </w:pPr>
            <w:r>
              <w:rPr>
                <w:rFonts w:hint="eastAsia" w:ascii="宋体" w:hAnsi="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2" w:firstLineChars="200"/>
              <w:jc w:val="center"/>
              <w:textAlignment w:val="auto"/>
              <w:outlineLvl w:val="9"/>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2" w:firstLineChars="200"/>
              <w:jc w:val="center"/>
              <w:textAlignment w:val="auto"/>
              <w:outlineLvl w:val="9"/>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2" w:firstLineChars="200"/>
              <w:jc w:val="center"/>
              <w:textAlignment w:val="auto"/>
              <w:outlineLvl w:val="9"/>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4419.95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outlineLvl w:val="9"/>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12390</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2142.57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outlineLvl w:val="9"/>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12390</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2142.57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outlineLvl w:val="9"/>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9</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91.01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outlineLvl w:val="9"/>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left"/>
              <w:textAlignment w:val="auto"/>
              <w:outlineLvl w:val="9"/>
              <w:rPr>
                <w:rFonts w:ascii="宋体" w:hAnsi="宋体" w:cs="宋体"/>
                <w:kern w:val="0"/>
                <w:sz w:val="22"/>
              </w:rPr>
            </w:pPr>
            <w:r>
              <w:rPr>
                <w:rFonts w:hint="eastAsia" w:ascii="宋体" w:hAnsi="宋体" w:cs="宋体"/>
                <w:kern w:val="0"/>
                <w:sz w:val="22"/>
              </w:rPr>
              <w:t xml:space="preserve">4、其他固定资产 </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ind w:left="0" w:leftChars="0" w:right="0" w:rightChars="0" w:firstLine="440" w:firstLineChars="200"/>
              <w:jc w:val="center"/>
              <w:textAlignment w:val="auto"/>
              <w:outlineLvl w:val="9"/>
              <w:rPr>
                <w:rFonts w:ascii="宋体" w:hAnsi="宋体" w:cs="宋体"/>
                <w:kern w:val="0"/>
                <w:sz w:val="22"/>
              </w:rPr>
            </w:pPr>
            <w:r>
              <w:rPr>
                <w:rFonts w:hint="eastAsia" w:ascii="宋体" w:hAnsi="宋体" w:cs="宋体"/>
                <w:kern w:val="0"/>
                <w:sz w:val="22"/>
              </w:rPr>
              <w:t>661.04</w:t>
            </w:r>
          </w:p>
        </w:tc>
      </w:tr>
    </w:tbl>
    <w:p>
      <w:pPr>
        <w:keepNext w:val="0"/>
        <w:keepLines w:val="0"/>
        <w:pageBreakBefore w:val="0"/>
        <w:kinsoku/>
        <w:wordWrap/>
        <w:overflowPunct/>
        <w:topLinePunct w:val="0"/>
        <w:autoSpaceDE/>
        <w:bidi w:val="0"/>
        <w:adjustRightInd/>
        <w:snapToGrid/>
        <w:ind w:left="0" w:leftChars="0" w:right="0" w:rightChars="0" w:firstLine="643" w:firstLineChars="200"/>
        <w:jc w:val="left"/>
        <w:textAlignment w:val="auto"/>
        <w:outlineLvl w:val="9"/>
        <w:rPr>
          <w:rFonts w:ascii="楷体" w:hAnsi="楷体" w:eastAsia="楷体" w:cs="楷体"/>
          <w:b/>
          <w:bCs/>
          <w:color w:val="333333"/>
          <w:kern w:val="0"/>
          <w:sz w:val="32"/>
          <w:szCs w:val="32"/>
          <w:shd w:val="clear" w:color="auto" w:fill="FFFFFF"/>
        </w:rPr>
      </w:pPr>
      <w:r>
        <w:rPr>
          <w:rFonts w:hint="eastAsia" w:ascii="楷体" w:hAnsi="楷体" w:eastAsia="楷体" w:cs="楷体"/>
          <w:b/>
          <w:bCs/>
          <w:sz w:val="32"/>
          <w:szCs w:val="32"/>
        </w:rPr>
        <w:t>（十）其他需要说明的情况</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无其他需要说明的情况。</w:t>
      </w:r>
    </w:p>
    <w:p>
      <w:pPr>
        <w:keepNext w:val="0"/>
        <w:keepLines w:val="0"/>
        <w:pageBreakBefore w:val="0"/>
        <w:kinsoku/>
        <w:wordWrap/>
        <w:overflowPunct/>
        <w:topLinePunct w:val="0"/>
        <w:autoSpaceDE/>
        <w:bidi w:val="0"/>
        <w:adjustRightInd/>
        <w:snapToGrid/>
        <w:ind w:left="0" w:leftChars="0" w:right="0" w:rightChars="0" w:firstLine="643" w:firstLineChars="200"/>
        <w:textAlignment w:val="auto"/>
        <w:outlineLvl w:val="9"/>
        <w:rPr>
          <w:rFonts w:ascii="黑体" w:hAnsi="黑体" w:eastAsia="黑体"/>
          <w:b/>
          <w:bCs/>
          <w:color w:val="333333"/>
          <w:kern w:val="0"/>
          <w:sz w:val="32"/>
          <w:szCs w:val="32"/>
          <w:shd w:val="clear" w:color="auto" w:fill="FFFFFF"/>
        </w:rPr>
      </w:pPr>
      <w:r>
        <w:rPr>
          <w:rFonts w:hint="eastAsia" w:ascii="黑体" w:hAnsi="黑体" w:eastAsia="黑体"/>
          <w:b/>
          <w:bCs/>
          <w:color w:val="333333"/>
          <w:kern w:val="0"/>
          <w:sz w:val="32"/>
          <w:szCs w:val="32"/>
          <w:shd w:val="clear" w:color="auto" w:fill="FFFFFF"/>
        </w:rPr>
        <w:t>四、名词解释</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（一）财政拨款收入：本年度从本级财政部门取得的财政拨款，包括一般公共预算财政拨款和政府性基金预算财政拨款。</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（三）其他收入：指除上述“财政拨款收入”、“事业收入”、“经营收入”等以外的收入。</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（四）年初结转和结余：指以前年度尚未完成、结转到本年仍按原规定用途继续使用的资金，或项目已完成等产生的结余资金。</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（五）年末结转和结余：指单位按有关规定结转到下年或以后年度继续使用的资金，或项目已完成等产生的结余资金。</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（六）基本支出：填列单位为保障机构正常运转、完成日常工作任务而发生的各项支出。</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（七）项目支出：填列单位为完成特定的行政工作任务或事业发展目标，在基本支出之外发生的各项支出。</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kinsoku/>
        <w:wordWrap/>
        <w:overflowPunct/>
        <w:topLinePunct w:val="0"/>
        <w:autoSpaceDE/>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kinsoku/>
        <w:wordWrap/>
        <w:overflowPunct/>
        <w:topLinePunct w:val="0"/>
        <w:autoSpaceDE/>
        <w:bidi w:val="0"/>
        <w:adjustRightInd/>
        <w:snapToGrid/>
        <w:spacing w:line="580" w:lineRule="atLeast"/>
        <w:ind w:left="0" w:leftChars="0" w:right="0" w:rightChars="0" w:firstLine="640" w:firstLineChars="200"/>
        <w:textAlignment w:val="auto"/>
        <w:outlineLvl w:val="9"/>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西文正文">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方正姚体">
    <w:panose1 w:val="02010601030101010101"/>
    <w:charset w:val="86"/>
    <w:family w:val="auto"/>
    <w:pitch w:val="default"/>
    <w:sig w:usb0="00000003" w:usb1="080E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MS Sans Serif">
    <w:altName w:val="Courier New"/>
    <w:panose1 w:val="00000000000000000000"/>
    <w:charset w:val="00"/>
    <w:family w:val="auto"/>
    <w:pitch w:val="default"/>
    <w:sig w:usb0="00000000" w:usb1="00000000" w:usb2="00000000" w:usb3="00000000" w:csb0="00000000" w:csb1="00000000"/>
  </w:font>
  <w:font w:name="GulimChe">
    <w:altName w:val="Malgun Gothic"/>
    <w:panose1 w:val="020B0609000101010101"/>
    <w:charset w:val="81"/>
    <w:family w:val="auto"/>
    <w:pitch w:val="default"/>
    <w:sig w:usb0="00000000" w:usb1="00000000" w:usb2="00000030" w:usb3="00000000" w:csb0="4008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新宋体">
    <w:panose1 w:val="02010609030101010101"/>
    <w:charset w:val="86"/>
    <w:family w:val="auto"/>
    <w:pitch w:val="default"/>
    <w:sig w:usb0="00000003" w:usb1="288F0000" w:usb2="00000006" w:usb3="00000000" w:csb0="00040001" w:csb1="0000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ngLiU">
    <w:altName w:val="PMingLiU-ExtB"/>
    <w:panose1 w:val="020203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PMincho">
    <w:altName w:val="MS UI Gothic"/>
    <w:panose1 w:val="02020600040205080304"/>
    <w:charset w:val="80"/>
    <w:family w:val="auto"/>
    <w:pitch w:val="default"/>
    <w:sig w:usb0="00000000" w:usb1="00000000"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ndalus">
    <w:altName w:val="Times New Roman"/>
    <w:panose1 w:val="02020603050405020304"/>
    <w:charset w:val="00"/>
    <w:family w:val="auto"/>
    <w:pitch w:val="default"/>
    <w:sig w:usb0="00000000" w:usb1="00000000" w:usb2="00000008" w:usb3="00000000" w:csb0="00000041" w:csb1="20080000"/>
  </w:font>
  <w:font w:name="Bookshelf Symbol 7">
    <w:panose1 w:val="05010101010101010101"/>
    <w:charset w:val="00"/>
    <w:family w:val="auto"/>
    <w:pitch w:val="default"/>
    <w:sig w:usb0="00000000" w:usb1="00000000" w:usb2="00000000" w:usb3="00000000" w:csb0="80000000" w:csb1="00000000"/>
  </w:font>
  <w:font w:name="BrowalliaUPC">
    <w:altName w:val="Microsoft Sans Serif"/>
    <w:panose1 w:val="020B0604020202020204"/>
    <w:charset w:val="00"/>
    <w:family w:val="auto"/>
    <w:pitch w:val="default"/>
    <w:sig w:usb0="00000000"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Kartika">
    <w:altName w:val="PMingLiU-ExtB"/>
    <w:panose1 w:val="02020503030404060203"/>
    <w:charset w:val="00"/>
    <w:family w:val="auto"/>
    <w:pitch w:val="default"/>
    <w:sig w:usb0="00000000" w:usb1="00000000" w:usb2="00000000" w:usb3="00000000" w:csb0="00000001" w:csb1="00000000"/>
  </w:font>
  <w:font w:name="Nyala">
    <w:altName w:val="Microsoft Sans Serif"/>
    <w:panose1 w:val="02000504070300020003"/>
    <w:charset w:val="00"/>
    <w:family w:val="auto"/>
    <w:pitch w:val="default"/>
    <w:sig w:usb0="00000000" w:usb1="00000000" w:usb2="00000800" w:usb3="00000000" w:csb0="00000093" w:csb1="00000000"/>
  </w:font>
  <w:font w:name="Vrinda">
    <w:altName w:val="Lucida Sans Unicode"/>
    <w:panose1 w:val="020B0502040204020203"/>
    <w:charset w:val="00"/>
    <w:family w:val="auto"/>
    <w:pitch w:val="default"/>
    <w:sig w:usb0="00000000" w:usb1="00000000" w:usb2="00000000" w:usb3="00000000" w:csb0="00000001" w:csb1="00000000"/>
  </w:font>
  <w:font w:name="Vijaya">
    <w:altName w:val="Microsoft Sans Serif"/>
    <w:panose1 w:val="020B0604020202020204"/>
    <w:charset w:val="00"/>
    <w:family w:val="auto"/>
    <w:pitch w:val="default"/>
    <w:sig w:usb0="00000000" w:usb1="00000000" w:usb2="00000000" w:usb3="00000000" w:csb0="00000001" w:csb1="00000000"/>
  </w:font>
  <w:font w:name="Tunga">
    <w:altName w:val="Lucida Sans Unicode"/>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Vani">
    <w:altName w:val="Lucida Sans Unicode"/>
    <w:panose1 w:val="020B0502040204020203"/>
    <w:charset w:val="00"/>
    <w:family w:val="auto"/>
    <w:pitch w:val="default"/>
    <w:sig w:usb0="00000000"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font-weight : 400">
    <w:altName w:val="微软雅黑"/>
    <w:panose1 w:val="00000000000000000000"/>
    <w:charset w:val="00"/>
    <w:family w:val="auto"/>
    <w:pitch w:val="default"/>
    <w:sig w:usb0="00000000" w:usb1="00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PMingLiU">
    <w:altName w:val="PMingLiU-ExtB"/>
    <w:panose1 w:val="02020300000000000000"/>
    <w:charset w:val="88"/>
    <w:family w:val="auto"/>
    <w:pitch w:val="default"/>
    <w:sig w:usb0="00000000" w:usb1="00000000" w:usb2="00000016" w:usb3="00000000" w:csb0="00100001" w:csb1="00000000"/>
  </w:font>
  <w:font w:name="Microsoft Sans Serif">
    <w:panose1 w:val="020B0604020202020204"/>
    <w:charset w:val="00"/>
    <w:family w:val="auto"/>
    <w:pitch w:val="default"/>
    <w:sig w:usb0="E5002EFF" w:usb1="C000605B" w:usb2="00000029" w:usb3="00000000" w:csb0="200101FF" w:csb1="20280000"/>
  </w:font>
  <w:font w:name="Microsoft JhengHei Light">
    <w:panose1 w:val="020B0304030504040204"/>
    <w:charset w:val="88"/>
    <w:family w:val="auto"/>
    <w:pitch w:val="default"/>
    <w:sig w:usb0="800002A7" w:usb1="28CF4400" w:usb2="00000016" w:usb3="00000000" w:csb0="00100009" w:csb1="00000000"/>
  </w:font>
  <w:font w:name="Impact">
    <w:panose1 w:val="020B0806030902050204"/>
    <w:charset w:val="00"/>
    <w:family w:val="auto"/>
    <w:pitch w:val="default"/>
    <w:sig w:usb0="00000287" w:usb1="00000000" w:usb2="00000000" w:usb3="00000000" w:csb0="2000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lgerian">
    <w:panose1 w:val="04020705040A02060702"/>
    <w:charset w:val="00"/>
    <w:family w:val="auto"/>
    <w:pitch w:val="default"/>
    <w:sig w:usb0="00000003" w:usb1="00000000" w:usb2="00000000" w:usb3="00000000" w:csb0="20000001" w:csb1="0000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parajita">
    <w:altName w:val="Segoe Print"/>
    <w:panose1 w:val="020B0604020202020204"/>
    <w:charset w:val="00"/>
    <w:family w:val="auto"/>
    <w:pitch w:val="default"/>
    <w:sig w:usb0="00000000" w:usb1="00000000" w:usb2="00000000" w:usb3="00000000" w:csb0="00000001" w:csb1="00000000"/>
  </w:font>
  <w:font w:name="Arabic Typesetting">
    <w:altName w:val="French Script MT"/>
    <w:panose1 w:val="03020402040406030203"/>
    <w:charset w:val="00"/>
    <w:family w:val="auto"/>
    <w:pitch w:val="default"/>
    <w:sig w:usb0="00000000" w:usb1="0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owallia New">
    <w:altName w:val="Segoe Print"/>
    <w:panose1 w:val="020B0604020202020204"/>
    <w:charset w:val="00"/>
    <w:family w:val="auto"/>
    <w:pitch w:val="default"/>
    <w:sig w:usb0="00000000"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listo MT">
    <w:panose1 w:val="02040603050505030304"/>
    <w:charset w:val="00"/>
    <w:family w:val="auto"/>
    <w:pitch w:val="default"/>
    <w:sig w:usb0="00000003" w:usb1="00000000" w:usb2="00000000" w:usb3="00000000" w:csb0="2000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igraffiti">
    <w:altName w:val="宋体"/>
    <w:panose1 w:val="00020600040101010101"/>
    <w:charset w:val="86"/>
    <w:family w:val="auto"/>
    <w:pitch w:val="default"/>
    <w:sig w:usb0="00000000" w:usb1="00000000" w:usb2="00000016"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French Script MT">
    <w:panose1 w:val="03020402040607040605"/>
    <w:charset w:val="00"/>
    <w:family w:val="auto"/>
    <w:pitch w:val="default"/>
    <w:sig w:usb0="00000003" w:usb1="00000000" w:usb2="00000000" w:usb3="00000000" w:csb0="20000001" w:csb1="00000000"/>
  </w:font>
  <w:font w:name="方正黑体简体">
    <w:altName w:val="黑体"/>
    <w:panose1 w:val="02010601030101010101"/>
    <w:charset w:val="86"/>
    <w:family w:val="auto"/>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汉鼎简大宋">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ˎ̥">
    <w:altName w:val="宋体"/>
    <w:panose1 w:val="00000000000000000000"/>
    <w:charset w:val="86"/>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 w:name="PingFang SC">
    <w:altName w:val="Segoe Print"/>
    <w:panose1 w:val="00000000000000000000"/>
    <w:charset w:val="00"/>
    <w:family w:val="auto"/>
    <w:pitch w:val="default"/>
    <w:sig w:usb0="00000000" w:usb1="00000000" w:usb2="00000000" w:usb3="00000000" w:csb0="00040001"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swiss"/>
    <w:pitch w:val="default"/>
    <w:sig w:usb0="E0002AFF" w:usb1="C000247B" w:usb2="00000009" w:usb3="00000000" w:csb0="200001F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inSun">
    <w:altName w:val="Segoe Print"/>
    <w:panose1 w:val="00000000000000000000"/>
    <w:charset w:val="00"/>
    <w:family w:val="auto"/>
    <w:pitch w:val="default"/>
    <w:sig w:usb0="00000000" w:usb1="00000000" w:usb2="00000000" w:usb3="00000000" w:csb0="00000000" w:csb1="00000000"/>
  </w:font>
  <w:font w:name="方正仿宋简体">
    <w:altName w:val="黑体"/>
    <w:panose1 w:val="03000509000000000000"/>
    <w:charset w:val="86"/>
    <w:family w:val="script"/>
    <w:pitch w:val="default"/>
    <w:sig w:usb0="00000000" w:usb1="00000000" w:usb2="0000001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Malgun Gothic Semilight">
    <w:panose1 w:val="020B0502040204020203"/>
    <w:charset w:val="86"/>
    <w:family w:val="roman"/>
    <w:pitch w:val="default"/>
    <w:sig w:usb0="900002AF" w:usb1="01D77CFB" w:usb2="00000012" w:usb3="00000000" w:csb0="203E01BD" w:csb1="D7FF0000"/>
  </w:font>
  <w:font w:name="Arial">
    <w:panose1 w:val="020B0604020202020204"/>
    <w:charset w:val="86"/>
    <w:family w:val="auto"/>
    <w:pitch w:val="default"/>
    <w:sig w:usb0="E0002EFF" w:usb1="C0007843" w:usb2="00000009" w:usb3="00000000" w:csb0="400001FF" w:csb1="FFFF0000"/>
  </w:font>
  <w:font w:name="Meiryo UI">
    <w:altName w:val="Yu Gothic UI"/>
    <w:panose1 w:val="020B0604030504040204"/>
    <w:charset w:val="80"/>
    <w:family w:val="auto"/>
    <w:pitch w:val="default"/>
    <w:sig w:usb0="00000000" w:usb1="00000000" w:usb2="00010012" w:usb3="00000000" w:csb0="6002009F" w:csb1="DFD70000"/>
  </w:font>
  <w:font w:name="MS Mincho">
    <w:altName w:val="Yu Gothic UI"/>
    <w:panose1 w:val="02020609040205080304"/>
    <w:charset w:val="80"/>
    <w:family w:val="auto"/>
    <w:pitch w:val="default"/>
    <w:sig w:usb0="00000000" w:usb1="00000000" w:usb2="00000012" w:usb3="00000000" w:csb0="4002009F" w:csb1="DFD70000"/>
  </w:font>
  <w:font w:name="闆呴粦">
    <w:altName w:val="Segoe Print"/>
    <w:panose1 w:val="00000000000000000000"/>
    <w:charset w:val="00"/>
    <w:family w:val="auto"/>
    <w:pitch w:val="default"/>
    <w:sig w:usb0="00000000" w:usb1="00000000" w:usb2="00000000" w:usb3="00000000" w:csb0="00040001" w:csb1="00000000"/>
  </w:font>
  <w:font w:name="+中文正文">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小标宋">
    <w:altName w:val="黑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7A"/>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9EF1"/>
    <w:multiLevelType w:val="singleLevel"/>
    <w:tmpl w:val="59A29EF1"/>
    <w:lvl w:ilvl="0" w:tentative="0">
      <w:start w:val="3"/>
      <w:numFmt w:val="chineseCounting"/>
      <w:suff w:val="nothing"/>
      <w:lvlText w:val="（%1）"/>
      <w:lvlJc w:val="left"/>
      <w:rPr>
        <w:rFonts w:cs="Times New Roman"/>
      </w:rPr>
    </w:lvl>
  </w:abstractNum>
  <w:abstractNum w:abstractNumId="1">
    <w:nsid w:val="59A2A9C3"/>
    <w:multiLevelType w:val="singleLevel"/>
    <w:tmpl w:val="59A2A9C3"/>
    <w:lvl w:ilvl="0" w:tentative="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3258"/>
    <w:rsid w:val="0000394B"/>
    <w:rsid w:val="000A3198"/>
    <w:rsid w:val="001C158E"/>
    <w:rsid w:val="001E287E"/>
    <w:rsid w:val="002115AA"/>
    <w:rsid w:val="00251D4A"/>
    <w:rsid w:val="00270CA0"/>
    <w:rsid w:val="00271BB0"/>
    <w:rsid w:val="002B24FE"/>
    <w:rsid w:val="002E697B"/>
    <w:rsid w:val="00301ED0"/>
    <w:rsid w:val="003144E9"/>
    <w:rsid w:val="003A5E84"/>
    <w:rsid w:val="003B0A44"/>
    <w:rsid w:val="003D4E4D"/>
    <w:rsid w:val="0041730E"/>
    <w:rsid w:val="00483258"/>
    <w:rsid w:val="004D6205"/>
    <w:rsid w:val="00563C7E"/>
    <w:rsid w:val="005E410A"/>
    <w:rsid w:val="005F6BCE"/>
    <w:rsid w:val="00611B3F"/>
    <w:rsid w:val="00661566"/>
    <w:rsid w:val="006770EB"/>
    <w:rsid w:val="0068362C"/>
    <w:rsid w:val="00695885"/>
    <w:rsid w:val="006F13CD"/>
    <w:rsid w:val="00715E66"/>
    <w:rsid w:val="00726943"/>
    <w:rsid w:val="00817F19"/>
    <w:rsid w:val="00847CD7"/>
    <w:rsid w:val="008538C3"/>
    <w:rsid w:val="0088484F"/>
    <w:rsid w:val="008A629C"/>
    <w:rsid w:val="008C21E2"/>
    <w:rsid w:val="008F2265"/>
    <w:rsid w:val="00913BB9"/>
    <w:rsid w:val="009207CE"/>
    <w:rsid w:val="00942A02"/>
    <w:rsid w:val="009B2BD4"/>
    <w:rsid w:val="009B2D6A"/>
    <w:rsid w:val="009C4479"/>
    <w:rsid w:val="00A218BD"/>
    <w:rsid w:val="00A30D6C"/>
    <w:rsid w:val="00A50475"/>
    <w:rsid w:val="00A55796"/>
    <w:rsid w:val="00A86EDF"/>
    <w:rsid w:val="00AB4D6B"/>
    <w:rsid w:val="00AB54BF"/>
    <w:rsid w:val="00AE346F"/>
    <w:rsid w:val="00AF3991"/>
    <w:rsid w:val="00B53E6A"/>
    <w:rsid w:val="00B84861"/>
    <w:rsid w:val="00BD3398"/>
    <w:rsid w:val="00C03DBE"/>
    <w:rsid w:val="00C050E4"/>
    <w:rsid w:val="00C2728B"/>
    <w:rsid w:val="00C361A5"/>
    <w:rsid w:val="00C57C4A"/>
    <w:rsid w:val="00C719E0"/>
    <w:rsid w:val="00C74244"/>
    <w:rsid w:val="00C9171B"/>
    <w:rsid w:val="00C95D10"/>
    <w:rsid w:val="00C97036"/>
    <w:rsid w:val="00D27C32"/>
    <w:rsid w:val="00E219D9"/>
    <w:rsid w:val="00E463B5"/>
    <w:rsid w:val="00EC6028"/>
    <w:rsid w:val="00EE476D"/>
    <w:rsid w:val="00F01C54"/>
    <w:rsid w:val="00F20FDD"/>
    <w:rsid w:val="00F45275"/>
    <w:rsid w:val="00F46940"/>
    <w:rsid w:val="00F51DAD"/>
    <w:rsid w:val="00FD5C7B"/>
    <w:rsid w:val="00FE02E8"/>
    <w:rsid w:val="07495DEA"/>
    <w:rsid w:val="3387163D"/>
    <w:rsid w:val="34100002"/>
    <w:rsid w:val="40A8533B"/>
    <w:rsid w:val="488B4716"/>
    <w:rsid w:val="6DA373E1"/>
    <w:rsid w:val="71444990"/>
    <w:rsid w:val="7A09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uiPriority w:val="99"/>
    <w:pPr>
      <w:spacing w:line="240" w:lineRule="atLeast"/>
    </w:pPr>
    <w:rPr>
      <w:rFonts w:ascii="Calibri" w:hAnsi="Calibri" w:eastAsia="小标宋" w:cs="Times New Roman"/>
      <w:sz w:val="44"/>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paragraph" w:customStyle="1" w:styleId="9">
    <w:name w:val="_Style 4"/>
    <w:basedOn w:val="1"/>
    <w:uiPriority w:val="0"/>
    <w:rPr>
      <w:rFonts w:ascii="Times New Roman" w:hAnsi="Times New Roman" w:eastAsia="宋体" w:cs="Times New Roman"/>
      <w:szCs w:val="20"/>
    </w:rPr>
  </w:style>
  <w:style w:type="character" w:customStyle="1" w:styleId="10">
    <w:name w:val="正文文本 Char"/>
    <w:basedOn w:val="5"/>
    <w:link w:val="2"/>
    <w:uiPriority w:val="99"/>
    <w:rPr>
      <w:rFonts w:ascii="Calibri" w:hAnsi="Calibri" w:eastAsia="小标宋" w:cs="Times New Roman"/>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643</Words>
  <Characters>3668</Characters>
  <Lines>30</Lines>
  <Paragraphs>8</Paragraphs>
  <TotalTime>0</TotalTime>
  <ScaleCrop>false</ScaleCrop>
  <LinksUpToDate>false</LinksUpToDate>
  <CharactersWithSpaces>4303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2017-11-04T07:13:00Z</dcterms:created>
  <dc:creator>微软用户</dc:creator>
  <cp:lastModifiedBy>无心之言*</cp:lastModifiedBy>
  <dcterms:modified xsi:type="dcterms:W3CDTF">2017-08-25T02:32:54Z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